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22DCD" w14:textId="0722FD5C" w:rsidR="00EA363B" w:rsidRPr="00EA363B" w:rsidRDefault="00EA363B" w:rsidP="00EA363B">
      <w:pPr>
        <w:shd w:val="clear" w:color="auto" w:fill="FFFFFF"/>
        <w:spacing w:after="0" w:line="648" w:lineRule="atLeast"/>
        <w:jc w:val="both"/>
        <w:rPr>
          <w:rFonts w:asciiTheme="majorHAnsi" w:eastAsia="Times New Roman" w:hAnsiTheme="majorHAnsi" w:cstheme="majorHAnsi"/>
          <w:color w:val="202124"/>
          <w:sz w:val="44"/>
          <w:szCs w:val="44"/>
          <w:lang w:val="es-ES" w:eastAsia="es-MX"/>
        </w:rPr>
      </w:pPr>
      <w:r w:rsidRPr="00EA363B">
        <w:rPr>
          <w:rFonts w:asciiTheme="majorHAnsi" w:eastAsia="Times New Roman" w:hAnsiTheme="majorHAnsi" w:cstheme="majorHAnsi"/>
          <w:color w:val="202124"/>
          <w:sz w:val="44"/>
          <w:szCs w:val="44"/>
          <w:lang w:val="es-ES" w:eastAsia="es-MX"/>
        </w:rPr>
        <w:t>Consulta Reglamento de la Defensoría de Derechos Universitarios</w:t>
      </w:r>
    </w:p>
    <w:p w14:paraId="57DCE966" w14:textId="3F824808" w:rsidR="00EA363B" w:rsidRPr="00EA363B" w:rsidRDefault="00EA363B" w:rsidP="00EA363B">
      <w:pPr>
        <w:shd w:val="clear" w:color="auto" w:fill="FFFFFF"/>
        <w:spacing w:after="0" w:line="648" w:lineRule="atLeast"/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</w:pP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Estimadas y estimados integrantes de la comunidad universitaria:</w:t>
      </w:r>
    </w:p>
    <w:p w14:paraId="4E8D8CCE" w14:textId="77777777" w:rsidR="00EA363B" w:rsidRPr="00EA363B" w:rsidRDefault="00EA363B" w:rsidP="00EA363B">
      <w:pPr>
        <w:shd w:val="clear" w:color="auto" w:fill="FFFFFF"/>
        <w:spacing w:after="0" w:line="300" w:lineRule="atLeast"/>
        <w:rPr>
          <w:rFonts w:asciiTheme="majorHAnsi" w:eastAsia="Times New Roman" w:hAnsiTheme="majorHAnsi" w:cstheme="majorHAnsi"/>
          <w:color w:val="202124"/>
          <w:sz w:val="24"/>
          <w:szCs w:val="24"/>
          <w:lang w:val="es-ES" w:eastAsia="es-MX"/>
        </w:rPr>
      </w:pPr>
    </w:p>
    <w:p w14:paraId="5C011F23" w14:textId="1AFD6FA3" w:rsidR="00EA363B" w:rsidRPr="00EA363B" w:rsidRDefault="00EA363B" w:rsidP="00EA363B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lang w:val="es-ES" w:eastAsia="es-MX"/>
        </w:rPr>
      </w:pP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El H. Consejo General Universitario (H.CGU) les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invita a participar en la consulta referente a la modificación de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la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normativ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idad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de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nuestra Universidad Autónoma de Baja California Sur (UABCS) relacionada con el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Reglamento de la Defensoría de Derechos Universitarios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. El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documento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actualmente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vigente 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puede ser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consulta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do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en el sitio oficial de la UABCS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>,</w:t>
      </w:r>
      <w:r w:rsidRPr="00EA363B">
        <w:rPr>
          <w:rFonts w:asciiTheme="majorHAnsi" w:eastAsia="Times New Roman" w:hAnsiTheme="majorHAnsi" w:cstheme="majorHAnsi"/>
          <w:color w:val="202124"/>
          <w:sz w:val="28"/>
          <w:szCs w:val="28"/>
          <w:lang w:val="es-ES" w:eastAsia="es-MX"/>
        </w:rPr>
        <w:t xml:space="preserve"> en el enlace </w:t>
      </w:r>
      <w:hyperlink r:id="rId6" w:history="1">
        <w:r w:rsidRPr="00EA363B">
          <w:rPr>
            <w:rStyle w:val="Hipervnculo"/>
            <w:rFonts w:asciiTheme="majorHAnsi" w:eastAsia="Times New Roman" w:hAnsiTheme="majorHAnsi" w:cstheme="majorHAnsi"/>
            <w:b/>
            <w:bCs/>
            <w:sz w:val="28"/>
            <w:szCs w:val="28"/>
            <w:lang w:val="es-ES" w:eastAsia="es-MX"/>
          </w:rPr>
          <w:t>https://www.uabcs.mx/normatividad</w:t>
        </w:r>
      </w:hyperlink>
    </w:p>
    <w:p w14:paraId="52F4DDA7" w14:textId="77777777" w:rsidR="00EA363B" w:rsidRPr="00EA363B" w:rsidRDefault="00EA363B" w:rsidP="00EA363B">
      <w:pPr>
        <w:shd w:val="clear" w:color="auto" w:fill="FFFFFF"/>
        <w:spacing w:after="0" w:line="276" w:lineRule="auto"/>
        <w:jc w:val="both"/>
        <w:rPr>
          <w:rFonts w:asciiTheme="majorHAnsi" w:eastAsia="Times New Roman" w:hAnsiTheme="majorHAnsi" w:cstheme="majorHAnsi"/>
          <w:b/>
          <w:bCs/>
          <w:color w:val="202124"/>
          <w:sz w:val="28"/>
          <w:szCs w:val="28"/>
          <w:lang w:val="es-ES" w:eastAsia="es-MX"/>
        </w:rPr>
      </w:pPr>
    </w:p>
    <w:p w14:paraId="1D235E9C" w14:textId="7B56EB6A" w:rsidR="00EA363B" w:rsidRPr="00EA363B" w:rsidRDefault="00EA363B" w:rsidP="00EA363B">
      <w:pPr>
        <w:shd w:val="clear" w:color="auto" w:fill="FFFFFF"/>
        <w:spacing w:after="0" w:line="276" w:lineRule="auto"/>
        <w:jc w:val="both"/>
        <w:rPr>
          <w:rFonts w:asciiTheme="majorHAnsi" w:hAnsiTheme="majorHAnsi" w:cstheme="majorHAnsi"/>
          <w:sz w:val="28"/>
          <w:szCs w:val="28"/>
          <w:lang w:val="es-ES"/>
        </w:rPr>
      </w:pPr>
      <w:r w:rsidRPr="00EA363B">
        <w:rPr>
          <w:rFonts w:asciiTheme="majorHAnsi" w:eastAsia="Times New Roman" w:hAnsiTheme="majorHAnsi" w:cstheme="majorHAnsi"/>
          <w:color w:val="222222"/>
          <w:sz w:val="28"/>
          <w:szCs w:val="28"/>
          <w:lang w:val="es-ES" w:eastAsia="es-MX"/>
        </w:rPr>
        <w:t>Favor de utilizar el número de renglones que consideren pertinente</w:t>
      </w:r>
      <w:r w:rsidRPr="00EA363B">
        <w:rPr>
          <w:rFonts w:asciiTheme="majorHAnsi" w:eastAsia="Times New Roman" w:hAnsiTheme="majorHAnsi" w:cstheme="majorHAnsi"/>
          <w:color w:val="222222"/>
          <w:sz w:val="28"/>
          <w:szCs w:val="28"/>
          <w:lang w:val="es-ES" w:eastAsia="es-MX"/>
        </w:rPr>
        <w:t>. Con el propósito de organizar la información derivada de la consulta para retroalimentación al H.CGU, la recepción de sus comentarios estará disponible a partir de esta fecha y hasta el domingo 19 de noviembre de 2022, a las 11:59 horas. Agradeciendo su participación, a</w:t>
      </w:r>
      <w:r w:rsidRPr="00EA363B">
        <w:rPr>
          <w:rFonts w:asciiTheme="majorHAnsi" w:eastAsia="Times New Roman" w:hAnsiTheme="majorHAnsi" w:cstheme="majorHAnsi"/>
          <w:color w:val="222222"/>
          <w:sz w:val="28"/>
          <w:szCs w:val="28"/>
          <w:lang w:val="es-ES" w:eastAsia="es-MX"/>
        </w:rPr>
        <w:t>preciaremos</w:t>
      </w:r>
      <w:r w:rsidRPr="00EA363B">
        <w:rPr>
          <w:rFonts w:asciiTheme="majorHAnsi" w:hAnsiTheme="majorHAnsi" w:cstheme="majorHAnsi"/>
          <w:sz w:val="28"/>
          <w:szCs w:val="28"/>
          <w:lang w:val="es-ES"/>
        </w:rPr>
        <w:t xml:space="preserve"> </w:t>
      </w:r>
      <w:r w:rsidRPr="00EA363B">
        <w:rPr>
          <w:rFonts w:asciiTheme="majorHAnsi" w:hAnsiTheme="majorHAnsi" w:cstheme="majorHAnsi"/>
          <w:sz w:val="28"/>
          <w:szCs w:val="28"/>
          <w:lang w:val="es-ES"/>
        </w:rPr>
        <w:t xml:space="preserve">el envío de este instrumento de consulta a: </w:t>
      </w:r>
      <w:hyperlink r:id="rId7" w:history="1">
        <w:r w:rsidRPr="00EA363B">
          <w:rPr>
            <w:rStyle w:val="Hipervnculo"/>
            <w:rFonts w:asciiTheme="majorHAnsi" w:hAnsiTheme="majorHAnsi" w:cstheme="majorHAnsi"/>
            <w:b/>
            <w:bCs/>
            <w:sz w:val="28"/>
            <w:szCs w:val="28"/>
            <w:lang w:val="es-ES"/>
          </w:rPr>
          <w:t>sg.academico@uabcs.mx</w:t>
        </w:r>
      </w:hyperlink>
    </w:p>
    <w:p w14:paraId="6495A600" w14:textId="77777777" w:rsidR="00EA363B" w:rsidRPr="00EA363B" w:rsidRDefault="00EA363B" w:rsidP="00EA363B">
      <w:pPr>
        <w:shd w:val="clear" w:color="auto" w:fill="FFFFFF"/>
        <w:spacing w:after="0" w:line="300" w:lineRule="atLeast"/>
        <w:jc w:val="both"/>
        <w:rPr>
          <w:lang w:val="es-ES"/>
        </w:rPr>
      </w:pPr>
    </w:p>
    <w:p w14:paraId="44F920F4" w14:textId="6D134108" w:rsidR="00EA363B" w:rsidRPr="00EA363B" w:rsidRDefault="00EA363B" w:rsidP="00EA363B">
      <w:pPr>
        <w:rPr>
          <w:rFonts w:asciiTheme="majorHAnsi" w:hAnsiTheme="majorHAnsi" w:cstheme="majorHAnsi"/>
          <w:sz w:val="28"/>
          <w:szCs w:val="28"/>
          <w:lang w:val="es-ES"/>
        </w:rPr>
      </w:pPr>
      <w:r w:rsidRPr="00EA363B">
        <w:rPr>
          <w:rFonts w:asciiTheme="majorHAnsi" w:hAnsiTheme="majorHAnsi" w:cstheme="majorHAnsi"/>
          <w:sz w:val="28"/>
          <w:szCs w:val="28"/>
          <w:lang w:val="es-ES"/>
        </w:rPr>
        <w:t>Saludos cordiales,</w:t>
      </w:r>
    </w:p>
    <w:p w14:paraId="16B2CA1E" w14:textId="68D0BC4D" w:rsidR="00EA363B" w:rsidRPr="00EA363B" w:rsidRDefault="00EA363B" w:rsidP="00EA363B">
      <w:pPr>
        <w:rPr>
          <w:rFonts w:asciiTheme="majorHAnsi" w:hAnsiTheme="majorHAnsi" w:cstheme="majorHAnsi"/>
          <w:sz w:val="28"/>
          <w:szCs w:val="28"/>
          <w:lang w:val="es-ES"/>
        </w:rPr>
      </w:pPr>
      <w:r w:rsidRPr="00EA363B">
        <w:rPr>
          <w:rFonts w:asciiTheme="majorHAnsi" w:hAnsiTheme="majorHAnsi" w:cstheme="majorHAnsi"/>
          <w:sz w:val="28"/>
          <w:szCs w:val="28"/>
          <w:lang w:val="es-ES"/>
        </w:rPr>
        <w:t>Secretaría del H.CGU, noviembre de 2022</w:t>
      </w:r>
    </w:p>
    <w:p w14:paraId="78DDEB3A" w14:textId="77777777" w:rsidR="00EA363B" w:rsidRPr="00EA363B" w:rsidRDefault="00EA363B" w:rsidP="00EA363B">
      <w:pPr>
        <w:rPr>
          <w:rFonts w:asciiTheme="majorHAnsi" w:hAnsiTheme="majorHAnsi" w:cstheme="majorHAnsi"/>
          <w:sz w:val="28"/>
          <w:szCs w:val="28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38"/>
        <w:gridCol w:w="918"/>
        <w:gridCol w:w="918"/>
        <w:gridCol w:w="3905"/>
        <w:gridCol w:w="5349"/>
      </w:tblGrid>
      <w:tr w:rsidR="00EA363B" w:rsidRPr="00EA363B" w14:paraId="7C39E547" w14:textId="77777777" w:rsidTr="00B137C9">
        <w:tc>
          <w:tcPr>
            <w:tcW w:w="12428" w:type="dxa"/>
            <w:gridSpan w:val="5"/>
            <w:shd w:val="clear" w:color="auto" w:fill="FFF2CC" w:themeFill="accent4" w:themeFillTint="33"/>
          </w:tcPr>
          <w:p w14:paraId="18D3463A" w14:textId="47EED6D5" w:rsidR="00EA363B" w:rsidRPr="00EA363B" w:rsidRDefault="00EA363B" w:rsidP="00904AE9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Cédula de consulta</w:t>
            </w:r>
          </w:p>
        </w:tc>
      </w:tr>
      <w:tr w:rsidR="00EA363B" w:rsidRPr="00EA363B" w14:paraId="583F5ED4" w14:textId="77777777" w:rsidTr="00B137C9">
        <w:tc>
          <w:tcPr>
            <w:tcW w:w="12428" w:type="dxa"/>
            <w:gridSpan w:val="5"/>
            <w:shd w:val="clear" w:color="auto" w:fill="F2F2F2" w:themeFill="background1" w:themeFillShade="F2"/>
          </w:tcPr>
          <w:p w14:paraId="18C853B1" w14:textId="6B7B4E33" w:rsidR="00EA363B" w:rsidRPr="00EA363B" w:rsidRDefault="00EA363B" w:rsidP="00EA363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Datos de contacto</w:t>
            </w:r>
          </w:p>
        </w:tc>
      </w:tr>
      <w:tr w:rsidR="00EA363B" w:rsidRPr="00EA363B" w14:paraId="24790A60" w14:textId="77777777" w:rsidTr="00B137C9">
        <w:tc>
          <w:tcPr>
            <w:tcW w:w="0" w:type="auto"/>
            <w:gridSpan w:val="2"/>
          </w:tcPr>
          <w:p w14:paraId="7A7727B5" w14:textId="77AED3FB" w:rsidR="00EA363B" w:rsidRPr="00EA363B" w:rsidRDefault="00EA363B" w:rsidP="00EA3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Nombre</w:t>
            </w:r>
          </w:p>
        </w:tc>
        <w:tc>
          <w:tcPr>
            <w:tcW w:w="10172" w:type="dxa"/>
            <w:gridSpan w:val="3"/>
          </w:tcPr>
          <w:p w14:paraId="5DABD78C" w14:textId="48EE5672" w:rsidR="00EA363B" w:rsidRPr="00EA363B" w:rsidRDefault="00EA363B" w:rsidP="00EA363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</w:p>
        </w:tc>
      </w:tr>
      <w:tr w:rsidR="00EA363B" w:rsidRPr="00EA363B" w14:paraId="188B3F1B" w14:textId="77777777" w:rsidTr="00B137C9">
        <w:tc>
          <w:tcPr>
            <w:tcW w:w="0" w:type="auto"/>
            <w:gridSpan w:val="2"/>
          </w:tcPr>
          <w:p w14:paraId="3A5FB6DE" w14:textId="29D1FB9F" w:rsidR="00EA363B" w:rsidRPr="00EA363B" w:rsidRDefault="00EA363B" w:rsidP="00EA3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Adscripción</w:t>
            </w:r>
          </w:p>
        </w:tc>
        <w:tc>
          <w:tcPr>
            <w:tcW w:w="10172" w:type="dxa"/>
            <w:gridSpan w:val="3"/>
          </w:tcPr>
          <w:p w14:paraId="04F72676" w14:textId="77777777" w:rsidR="00EA363B" w:rsidRPr="00EA363B" w:rsidRDefault="00EA363B" w:rsidP="00EA363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</w:p>
        </w:tc>
      </w:tr>
      <w:tr w:rsidR="00EA363B" w:rsidRPr="00EA363B" w14:paraId="3839D30B" w14:textId="77777777" w:rsidTr="00B137C9">
        <w:tc>
          <w:tcPr>
            <w:tcW w:w="0" w:type="auto"/>
            <w:gridSpan w:val="2"/>
          </w:tcPr>
          <w:p w14:paraId="10EBA544" w14:textId="069F56CF" w:rsidR="00EA363B" w:rsidRPr="00EA363B" w:rsidRDefault="00EA363B" w:rsidP="00EA363B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lastRenderedPageBreak/>
              <w:t>C</w:t>
            </w:r>
            <w:r w:rsidRPr="00EA363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orreo-e, teléfono</w:t>
            </w:r>
          </w:p>
        </w:tc>
        <w:tc>
          <w:tcPr>
            <w:tcW w:w="10172" w:type="dxa"/>
            <w:gridSpan w:val="3"/>
          </w:tcPr>
          <w:p w14:paraId="3B2FEA3C" w14:textId="77777777" w:rsidR="00EA363B" w:rsidRPr="00EA363B" w:rsidRDefault="00EA363B" w:rsidP="00EA363B">
            <w:pPr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</w:p>
        </w:tc>
      </w:tr>
      <w:tr w:rsidR="00EA363B" w:rsidRPr="00EA363B" w14:paraId="009E2F49" w14:textId="77777777" w:rsidTr="00B137C9">
        <w:tc>
          <w:tcPr>
            <w:tcW w:w="12428" w:type="dxa"/>
            <w:gridSpan w:val="5"/>
            <w:shd w:val="clear" w:color="auto" w:fill="F2F2F2" w:themeFill="background1" w:themeFillShade="F2"/>
          </w:tcPr>
          <w:p w14:paraId="11BC51E3" w14:textId="7807B037" w:rsidR="00EA363B" w:rsidRPr="00EA363B" w:rsidRDefault="00EA363B" w:rsidP="00EA363B">
            <w:pPr>
              <w:jc w:val="center"/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 xml:space="preserve">Propuesta de </w:t>
            </w:r>
            <w:r w:rsidRPr="00EA36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Reglamento de la Defensoría de Derechos Universitarios</w:t>
            </w:r>
            <w:r w:rsidRPr="00EA363B">
              <w:rPr>
                <w:rFonts w:asciiTheme="majorHAnsi" w:hAnsiTheme="majorHAnsi" w:cstheme="majorHAnsi"/>
                <w:b/>
                <w:bCs/>
                <w:sz w:val="28"/>
                <w:szCs w:val="28"/>
                <w:lang w:val="es-ES"/>
              </w:rPr>
              <w:t>, 2022</w:t>
            </w:r>
          </w:p>
        </w:tc>
      </w:tr>
      <w:tr w:rsidR="00EA363B" w:rsidRPr="00EA363B" w14:paraId="4EE87EA1" w14:textId="77777777" w:rsidTr="00B137C9">
        <w:tc>
          <w:tcPr>
            <w:tcW w:w="0" w:type="auto"/>
          </w:tcPr>
          <w:p w14:paraId="4F88B160" w14:textId="77777777" w:rsidR="00EA363B" w:rsidRPr="00EA363B" w:rsidRDefault="00EA363B" w:rsidP="00EA363B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  <w:t>Página</w:t>
            </w:r>
          </w:p>
        </w:tc>
        <w:tc>
          <w:tcPr>
            <w:tcW w:w="0" w:type="auto"/>
            <w:gridSpan w:val="2"/>
          </w:tcPr>
          <w:p w14:paraId="4A099002" w14:textId="77777777" w:rsidR="00EA363B" w:rsidRPr="00EA363B" w:rsidRDefault="00EA363B" w:rsidP="00EA363B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  <w:t>Artículo/fracción</w:t>
            </w:r>
          </w:p>
        </w:tc>
        <w:tc>
          <w:tcPr>
            <w:tcW w:w="3909" w:type="dxa"/>
          </w:tcPr>
          <w:p w14:paraId="6BE683C0" w14:textId="77777777" w:rsidR="00EA363B" w:rsidRPr="00EA363B" w:rsidRDefault="00EA363B" w:rsidP="00EA363B">
            <w:pPr>
              <w:jc w:val="center"/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  <w:t>Dice</w:t>
            </w:r>
          </w:p>
        </w:tc>
        <w:tc>
          <w:tcPr>
            <w:tcW w:w="5345" w:type="dxa"/>
          </w:tcPr>
          <w:p w14:paraId="05595397" w14:textId="77777777" w:rsidR="00EA363B" w:rsidRPr="00EA363B" w:rsidRDefault="00EA363B" w:rsidP="00EA363B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color w:val="222222"/>
                <w:sz w:val="24"/>
                <w:szCs w:val="24"/>
                <w:shd w:val="clear" w:color="auto" w:fill="FFFFFF"/>
                <w:lang w:val="es-ES"/>
              </w:rPr>
              <w:t>Se sugiere diga</w:t>
            </w:r>
          </w:p>
        </w:tc>
      </w:tr>
      <w:tr w:rsidR="00EA363B" w:rsidRPr="00EA363B" w14:paraId="7F820E93" w14:textId="77777777" w:rsidTr="00B137C9">
        <w:tc>
          <w:tcPr>
            <w:tcW w:w="0" w:type="auto"/>
          </w:tcPr>
          <w:p w14:paraId="484EB7DC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0EF056CE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3909" w:type="dxa"/>
          </w:tcPr>
          <w:p w14:paraId="353ED52F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5345" w:type="dxa"/>
          </w:tcPr>
          <w:p w14:paraId="46853654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EA363B" w:rsidRPr="00EA363B" w14:paraId="24A72C2D" w14:textId="77777777" w:rsidTr="00B137C9">
        <w:tc>
          <w:tcPr>
            <w:tcW w:w="0" w:type="auto"/>
          </w:tcPr>
          <w:p w14:paraId="3B762A58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3F433F12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3909" w:type="dxa"/>
          </w:tcPr>
          <w:p w14:paraId="11D76BDC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5345" w:type="dxa"/>
          </w:tcPr>
          <w:p w14:paraId="105193FE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  <w:tr w:rsidR="00EA363B" w:rsidRPr="00EA363B" w14:paraId="3D9A7FFA" w14:textId="77777777" w:rsidTr="00B137C9">
        <w:tc>
          <w:tcPr>
            <w:tcW w:w="0" w:type="auto"/>
          </w:tcPr>
          <w:p w14:paraId="3C5676F7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0" w:type="auto"/>
            <w:gridSpan w:val="2"/>
          </w:tcPr>
          <w:p w14:paraId="5C1EB98C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3909" w:type="dxa"/>
          </w:tcPr>
          <w:p w14:paraId="21C10534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  <w:tc>
          <w:tcPr>
            <w:tcW w:w="5345" w:type="dxa"/>
          </w:tcPr>
          <w:p w14:paraId="04F17176" w14:textId="77777777" w:rsidR="00EA363B" w:rsidRPr="00EA363B" w:rsidRDefault="00EA363B" w:rsidP="00A75FE1">
            <w:pPr>
              <w:rPr>
                <w:rFonts w:asciiTheme="majorHAnsi" w:hAnsiTheme="majorHAnsi" w:cstheme="majorHAnsi"/>
                <w:color w:val="222222"/>
                <w:sz w:val="24"/>
                <w:szCs w:val="24"/>
                <w:shd w:val="clear" w:color="auto" w:fill="FFFFFF"/>
                <w:lang w:val="es-ES"/>
              </w:rPr>
            </w:pPr>
          </w:p>
        </w:tc>
      </w:tr>
    </w:tbl>
    <w:p w14:paraId="6B2C77EE" w14:textId="77777777" w:rsidR="00EA363B" w:rsidRPr="00EA363B" w:rsidRDefault="00EA363B" w:rsidP="00EA363B">
      <w:pPr>
        <w:rPr>
          <w:sz w:val="24"/>
          <w:szCs w:val="24"/>
          <w:lang w:val="es-ES"/>
        </w:rPr>
      </w:pPr>
    </w:p>
    <w:tbl>
      <w:tblPr>
        <w:tblStyle w:val="Tablaconcuadrcula"/>
        <w:tblW w:w="12469" w:type="dxa"/>
        <w:tblLook w:val="04A0" w:firstRow="1" w:lastRow="0" w:firstColumn="1" w:lastColumn="0" w:noHBand="0" w:noVBand="1"/>
      </w:tblPr>
      <w:tblGrid>
        <w:gridCol w:w="12469"/>
      </w:tblGrid>
      <w:tr w:rsidR="00EA363B" w:rsidRPr="00EA363B" w14:paraId="72E3B568" w14:textId="77777777" w:rsidTr="00EA363B">
        <w:tc>
          <w:tcPr>
            <w:tcW w:w="12469" w:type="dxa"/>
          </w:tcPr>
          <w:p w14:paraId="2401C4B2" w14:textId="77777777" w:rsidR="00EA363B" w:rsidRPr="00EA363B" w:rsidRDefault="00EA363B" w:rsidP="00A75FE1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EA363B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Comentarios</w:t>
            </w:r>
          </w:p>
        </w:tc>
      </w:tr>
      <w:tr w:rsidR="00EA363B" w:rsidRPr="00EA363B" w14:paraId="47F55DC2" w14:textId="77777777" w:rsidTr="00EA363B">
        <w:tc>
          <w:tcPr>
            <w:tcW w:w="12469" w:type="dxa"/>
          </w:tcPr>
          <w:p w14:paraId="24B34155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0BDE18BF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62681A12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EBD17B4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47433533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785CB313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  <w:p w14:paraId="174EE008" w14:textId="77777777" w:rsidR="00EA363B" w:rsidRPr="00EA363B" w:rsidRDefault="00EA363B" w:rsidP="00A75FE1">
            <w:pPr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</w:tr>
    </w:tbl>
    <w:p w14:paraId="2B1AC6ED" w14:textId="77777777" w:rsidR="00EA363B" w:rsidRPr="00EA363B" w:rsidRDefault="00EA363B" w:rsidP="00EA363B">
      <w:pPr>
        <w:rPr>
          <w:sz w:val="24"/>
          <w:szCs w:val="24"/>
          <w:lang w:val="es-ES"/>
        </w:rPr>
      </w:pPr>
    </w:p>
    <w:p w14:paraId="3A0EC80C" w14:textId="77777777" w:rsidR="00784E7F" w:rsidRPr="00EA363B" w:rsidRDefault="00784E7F" w:rsidP="00EA363B">
      <w:pPr>
        <w:jc w:val="both"/>
        <w:rPr>
          <w:lang w:val="es-ES"/>
        </w:rPr>
      </w:pPr>
    </w:p>
    <w:sectPr w:rsidR="00784E7F" w:rsidRPr="00EA363B" w:rsidSect="00EA363B">
      <w:footerReference w:type="even" r:id="rId8"/>
      <w:footerReference w:type="default" r:id="rId9"/>
      <w:pgSz w:w="15840" w:h="12240" w:orient="landscape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ECA8" w14:textId="77777777" w:rsidR="00426808" w:rsidRDefault="00426808" w:rsidP="00EA363B">
      <w:pPr>
        <w:spacing w:after="0" w:line="240" w:lineRule="auto"/>
      </w:pPr>
      <w:r>
        <w:separator/>
      </w:r>
    </w:p>
  </w:endnote>
  <w:endnote w:type="continuationSeparator" w:id="0">
    <w:p w14:paraId="5B434ADB" w14:textId="77777777" w:rsidR="00426808" w:rsidRDefault="00426808" w:rsidP="00EA3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42711937"/>
      <w:docPartObj>
        <w:docPartGallery w:val="Page Numbers (Bottom of Page)"/>
        <w:docPartUnique/>
      </w:docPartObj>
    </w:sdtPr>
    <w:sdtContent>
      <w:p w14:paraId="32FBE8E3" w14:textId="0847257B" w:rsidR="00EA363B" w:rsidRDefault="00EA363B" w:rsidP="00CB44F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DD22C57" w14:textId="77777777" w:rsidR="00EA363B" w:rsidRDefault="00EA363B" w:rsidP="00EA363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84348374"/>
      <w:docPartObj>
        <w:docPartGallery w:val="Page Numbers (Bottom of Page)"/>
        <w:docPartUnique/>
      </w:docPartObj>
    </w:sdtPr>
    <w:sdtContent>
      <w:p w14:paraId="6834F5E0" w14:textId="4135DBEB" w:rsidR="00EA363B" w:rsidRDefault="00EA363B" w:rsidP="00CB44F1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17210120" w14:textId="77777777" w:rsidR="00EA363B" w:rsidRDefault="00EA363B" w:rsidP="00EA363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DEF56" w14:textId="77777777" w:rsidR="00426808" w:rsidRDefault="00426808" w:rsidP="00EA363B">
      <w:pPr>
        <w:spacing w:after="0" w:line="240" w:lineRule="auto"/>
      </w:pPr>
      <w:r>
        <w:separator/>
      </w:r>
    </w:p>
  </w:footnote>
  <w:footnote w:type="continuationSeparator" w:id="0">
    <w:p w14:paraId="3A3A8A9B" w14:textId="77777777" w:rsidR="00426808" w:rsidRDefault="00426808" w:rsidP="00EA3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3B"/>
    <w:rsid w:val="00426808"/>
    <w:rsid w:val="00784E7F"/>
    <w:rsid w:val="00A92C72"/>
    <w:rsid w:val="00B137C9"/>
    <w:rsid w:val="00EA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1A910E"/>
  <w15:chartTrackingRefBased/>
  <w15:docId w15:val="{6C990D00-B689-074E-BA56-CFF273555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363B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link w:val="Ttulo1Car"/>
    <w:autoRedefine/>
    <w:uiPriority w:val="9"/>
    <w:qFormat/>
    <w:rsid w:val="00A92C72"/>
    <w:pPr>
      <w:widowControl w:val="0"/>
      <w:autoSpaceDE w:val="0"/>
      <w:autoSpaceDN w:val="0"/>
      <w:spacing w:before="120" w:after="120" w:line="240" w:lineRule="auto"/>
      <w:ind w:left="970" w:hanging="814"/>
      <w:jc w:val="center"/>
      <w:outlineLvl w:val="0"/>
    </w:pPr>
    <w:rPr>
      <w:rFonts w:ascii="Calibri Light" w:eastAsia="Courier New" w:hAnsi="Calibri Light" w:cs="Courier New"/>
      <w:b/>
      <w:bCs/>
      <w:sz w:val="32"/>
      <w:szCs w:val="24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92C72"/>
    <w:pPr>
      <w:keepNext/>
      <w:keepLines/>
      <w:spacing w:before="40" w:after="0" w:line="276" w:lineRule="auto"/>
      <w:jc w:val="center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92C72"/>
    <w:rPr>
      <w:rFonts w:ascii="Calibri Light" w:eastAsia="Courier New" w:hAnsi="Calibri Light" w:cs="Courier New"/>
      <w:b/>
      <w:bCs/>
      <w:sz w:val="32"/>
      <w:lang w:val="es-ES"/>
    </w:rPr>
  </w:style>
  <w:style w:type="paragraph" w:customStyle="1" w:styleId="Estilo1">
    <w:name w:val="Estilo1"/>
    <w:basedOn w:val="Ttulo2"/>
    <w:autoRedefine/>
    <w:qFormat/>
    <w:rsid w:val="00A92C72"/>
    <w:pPr>
      <w:spacing w:before="160" w:after="120"/>
    </w:pPr>
    <w:rPr>
      <w:rFonts w:ascii="Calibri Light" w:hAnsi="Calibri Light"/>
      <w:color w:val="000000" w:themeColor="text1"/>
      <w:sz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92C72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eastAsia="es-MX"/>
    </w:rPr>
  </w:style>
  <w:style w:type="paragraph" w:styleId="Prrafodelista">
    <w:name w:val="List Paragraph"/>
    <w:basedOn w:val="Normal"/>
    <w:autoRedefine/>
    <w:uiPriority w:val="1"/>
    <w:qFormat/>
    <w:rsid w:val="00A92C72"/>
    <w:pPr>
      <w:spacing w:before="120" w:after="80" w:line="240" w:lineRule="auto"/>
      <w:ind w:left="720"/>
      <w:contextualSpacing/>
      <w:jc w:val="center"/>
    </w:pPr>
    <w:rPr>
      <w:rFonts w:ascii="Calibri Light" w:eastAsiaTheme="minorEastAsia" w:hAnsi="Calibri Light"/>
      <w:sz w:val="28"/>
      <w:lang w:eastAsia="es-MX"/>
    </w:rPr>
  </w:style>
  <w:style w:type="table" w:styleId="Tablaconcuadrcula">
    <w:name w:val="Table Grid"/>
    <w:basedOn w:val="Tablanormal"/>
    <w:uiPriority w:val="39"/>
    <w:rsid w:val="00EA363B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A36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EA36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363B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EA363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63B"/>
    <w:rPr>
      <w:sz w:val="22"/>
      <w:szCs w:val="22"/>
    </w:rPr>
  </w:style>
  <w:style w:type="character" w:styleId="Nmerodepgina">
    <w:name w:val="page number"/>
    <w:basedOn w:val="Fuentedeprrafopredeter"/>
    <w:uiPriority w:val="99"/>
    <w:semiHidden/>
    <w:unhideWhenUsed/>
    <w:rsid w:val="00EA3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35989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g.academico@uabcs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abcs.mx/normativida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2022-11-05T19:03:00Z</dcterms:created>
  <dcterms:modified xsi:type="dcterms:W3CDTF">2022-11-05T19:22:00Z</dcterms:modified>
</cp:coreProperties>
</file>